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r>
        <w:rPr>
          <w:rFonts w:hint="eastAsia" w:ascii="Times New Roman" w:hAnsi="Times New Roman" w:eastAsia="华文中宋" w:cs="仿宋_GB2312"/>
          <w:sz w:val="44"/>
          <w:lang w:val="en-US" w:eastAsia="zh-CN"/>
        </w:rPr>
        <w:t>运维中心培训项目供应商报名材料需求</w:t>
      </w:r>
    </w:p>
    <w:p>
      <w:pPr>
        <w:pStyle w:val="2"/>
        <w:keepNext w:val="0"/>
        <w:keepLines w:val="0"/>
        <w:pageBreakBefore w:val="0"/>
        <w:kinsoku/>
        <w:wordWrap/>
        <w:overflowPunct/>
        <w:topLinePunct w:val="0"/>
        <w:autoSpaceDE/>
        <w:autoSpaceDN/>
        <w:bidi w:val="0"/>
        <w:adjustRightInd/>
        <w:snapToGrid/>
        <w:spacing w:beforeLines="50" w:line="620" w:lineRule="exact"/>
        <w:ind w:firstLine="627" w:firstLineChars="196"/>
        <w:jc w:val="both"/>
        <w:textAlignment w:val="auto"/>
        <w:rPr>
          <w:rFonts w:ascii="黑体" w:hAnsi="黑体" w:eastAsia="黑体"/>
          <w:bCs/>
          <w:sz w:val="32"/>
          <w:szCs w:val="32"/>
          <w:lang w:val="en-US" w:eastAsia="zh-CN"/>
        </w:rPr>
      </w:pPr>
      <w:r>
        <w:rPr>
          <w:rFonts w:hint="eastAsia" w:ascii="黑体" w:hAnsi="黑体" w:eastAsia="黑体"/>
          <w:bCs/>
          <w:sz w:val="32"/>
          <w:szCs w:val="32"/>
          <w:lang w:val="en-US" w:eastAsia="zh-CN"/>
        </w:rPr>
        <w:t>一、培训描述</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620" w:lineRule="exact"/>
        <w:ind w:firstLine="640" w:firstLineChars="200"/>
        <w:jc w:val="both"/>
        <w:textAlignment w:val="auto"/>
        <w:rPr>
          <w:rFonts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为进一步完善运维人员知识结构，通过系统性的培训规划，使参训人员掌握云原生关键技术、开源技术、运维自动化、高可用分布式架构设计、ITIL4及项目管理等知识，同时，在培训中注重理论知识转换为实践能力的培训，全面</w:t>
      </w:r>
      <w:r>
        <w:rPr>
          <w:rFonts w:ascii="仿宋_GB2312" w:hAnsi="宋体" w:eastAsia="仿宋_GB2312" w:cs="Times New Roman"/>
          <w:color w:val="000000"/>
          <w:sz w:val="32"/>
          <w:szCs w:val="32"/>
          <w:lang w:val="en-US" w:eastAsia="zh-CN"/>
        </w:rPr>
        <w:t>提升</w:t>
      </w:r>
      <w:r>
        <w:rPr>
          <w:rFonts w:hint="eastAsia" w:ascii="仿宋_GB2312" w:hAnsi="宋体" w:eastAsia="仿宋_GB2312" w:cs="Times New Roman"/>
          <w:color w:val="000000"/>
          <w:sz w:val="32"/>
          <w:szCs w:val="32"/>
          <w:lang w:val="en-US" w:eastAsia="zh-CN"/>
        </w:rPr>
        <w:t>参训人员专业技术及运维支持能力。</w:t>
      </w:r>
    </w:p>
    <w:p>
      <w:pPr>
        <w:pStyle w:val="2"/>
        <w:keepNext w:val="0"/>
        <w:keepLines w:val="0"/>
        <w:pageBreakBefore w:val="0"/>
        <w:kinsoku/>
        <w:wordWrap/>
        <w:overflowPunct/>
        <w:topLinePunct w:val="0"/>
        <w:autoSpaceDE/>
        <w:autoSpaceDN/>
        <w:bidi w:val="0"/>
        <w:adjustRightInd/>
        <w:snapToGrid/>
        <w:spacing w:beforeLines="50" w:line="620" w:lineRule="exact"/>
        <w:ind w:firstLine="576" w:firstLineChars="180"/>
        <w:jc w:val="both"/>
        <w:textAlignment w:val="auto"/>
        <w:rPr>
          <w:rFonts w:ascii="黑体" w:hAnsi="黑体" w:eastAsia="黑体"/>
          <w:bCs/>
          <w:sz w:val="32"/>
          <w:szCs w:val="32"/>
          <w:lang w:val="en-US" w:eastAsia="zh-CN"/>
        </w:rPr>
      </w:pPr>
      <w:r>
        <w:rPr>
          <w:rFonts w:hint="eastAsia" w:ascii="黑体" w:hAnsi="黑体" w:eastAsia="黑体"/>
          <w:bCs/>
          <w:sz w:val="32"/>
          <w:szCs w:val="32"/>
          <w:lang w:val="en-US" w:eastAsia="zh-CN"/>
        </w:rPr>
        <w:t>二、培训机构及师资要求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both"/>
        <w:textAlignment w:val="auto"/>
        <w:rPr>
          <w:rFonts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1、培训机构要求。从事IT培训服务5年以上，具有PMP和ITIL培训官方授权证书或者证明，PMP和ITIL培训年限均不低于2年，具有丰富的专业认证类和IT培训案例，在3年内承担过以下任一银行总行的相关培训任务：</w:t>
      </w:r>
      <w:r>
        <w:rPr>
          <w:rFonts w:hint="eastAsia" w:ascii="Times New Roman" w:hAnsi="Times New Roman" w:eastAsia="仿宋_GB2312" w:cs="仿宋_GB2312"/>
          <w:b w:val="0"/>
          <w:bCs w:val="0"/>
          <w:i w:val="0"/>
          <w:iCs w:val="0"/>
          <w:color w:val="000000" w:themeColor="text1"/>
          <w:sz w:val="32"/>
          <w:lang w:val="en-US" w:eastAsia="zh-CN"/>
          <w14:textFill>
            <w14:solidFill>
              <w14:schemeClr w14:val="tx1"/>
            </w14:solidFill>
          </w14:textFill>
        </w:rPr>
        <w:t>中国人民银行、中国农业发展银行、国家开发银行和中国进出口银行</w:t>
      </w:r>
      <w:r>
        <w:rPr>
          <w:rFonts w:hint="eastAsia" w:ascii="仿宋_GB2312" w:hAnsi="宋体" w:eastAsia="仿宋_GB2312" w:cs="Times New Roman"/>
          <w:sz w:val="32"/>
          <w:szCs w:val="32"/>
          <w:lang w:val="en-US" w:eastAsia="zh-CN"/>
        </w:rPr>
        <w:t>（含直属机构）、列入</w:t>
      </w:r>
      <w:r>
        <w:rPr>
          <w:rFonts w:hint="eastAsia" w:ascii="Times New Roman" w:hAnsi="Times New Roman" w:eastAsia="仿宋_GB2312" w:cs="仿宋_GB2312"/>
          <w:b w:val="0"/>
          <w:bCs w:val="0"/>
          <w:i w:val="0"/>
          <w:iCs w:val="0"/>
          <w:color w:val="000000" w:themeColor="text1"/>
          <w:sz w:val="32"/>
          <w:lang w:val="en-US" w:eastAsia="zh-CN"/>
          <w14:textFill>
            <w14:solidFill>
              <w14:schemeClr w14:val="tx1"/>
            </w14:solidFill>
          </w14:textFill>
        </w:rPr>
        <w:t>系统重要性银行的国有</w:t>
      </w:r>
      <w:r>
        <w:rPr>
          <w:rFonts w:hint="eastAsia" w:ascii="Times New Roman" w:hAnsi="Times New Roman" w:eastAsia="仿宋_GB2312" w:cs="仿宋_GB2312"/>
          <w:b w:val="0"/>
          <w:bCs w:val="0"/>
          <w:i w:val="0"/>
          <w:iCs w:val="0"/>
          <w:sz w:val="32"/>
          <w:lang w:val="en-US" w:eastAsia="zh-CN"/>
        </w:rPr>
        <w:t>大型银行</w:t>
      </w:r>
      <w:r>
        <w:rPr>
          <w:rFonts w:hint="eastAsia" w:ascii="仿宋_GB2312" w:hAnsi="宋体" w:eastAsia="仿宋_GB2312" w:cs="Times New Roman"/>
          <w:sz w:val="32"/>
          <w:szCs w:val="32"/>
          <w:lang w:val="en-US" w:eastAsia="zh-CN"/>
        </w:rPr>
        <w:t>、列入</w:t>
      </w:r>
      <w:r>
        <w:rPr>
          <w:rFonts w:hint="eastAsia" w:ascii="Times New Roman" w:hAnsi="Times New Roman" w:eastAsia="仿宋_GB2312" w:cs="仿宋_GB2312"/>
          <w:b w:val="0"/>
          <w:bCs w:val="0"/>
          <w:i w:val="0"/>
          <w:iCs w:val="0"/>
          <w:sz w:val="32"/>
          <w:lang w:val="en-US" w:eastAsia="zh-CN"/>
        </w:rPr>
        <w:t>系统重要性银行的股份制商业银行、列入系统重要性银行的城市商业银行</w:t>
      </w:r>
      <w:r>
        <w:rPr>
          <w:rFonts w:hint="eastAsia" w:ascii="仿宋_GB2312" w:hAnsi="宋体" w:eastAsia="仿宋_GB2312" w:cs="Times New Roman"/>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both"/>
        <w:textAlignment w:val="auto"/>
        <w:rPr>
          <w:rFonts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2、培训师资要求。培训从业年限不低于2年且近2年培训从业经历完整，其中PMP和ITIL授课讲师需具备官方授权讲师证书，其余课程讲师具有相关IT培训项目经验。</w:t>
      </w:r>
    </w:p>
    <w:p>
      <w:pPr>
        <w:pStyle w:val="2"/>
        <w:keepNext w:val="0"/>
        <w:keepLines w:val="0"/>
        <w:pageBreakBefore w:val="0"/>
        <w:kinsoku/>
        <w:wordWrap/>
        <w:overflowPunct/>
        <w:topLinePunct w:val="0"/>
        <w:autoSpaceDE/>
        <w:autoSpaceDN/>
        <w:bidi w:val="0"/>
        <w:adjustRightInd/>
        <w:snapToGrid/>
        <w:spacing w:beforeLines="50" w:line="620" w:lineRule="exact"/>
        <w:ind w:firstLine="576" w:firstLineChars="180"/>
        <w:jc w:val="both"/>
        <w:textAlignment w:val="auto"/>
        <w:rPr>
          <w:rFonts w:ascii="黑体" w:hAnsi="黑体" w:eastAsia="黑体"/>
          <w:bCs/>
          <w:sz w:val="32"/>
          <w:szCs w:val="32"/>
          <w:lang w:val="en-US" w:eastAsia="zh-CN"/>
        </w:rPr>
      </w:pPr>
      <w:r>
        <w:rPr>
          <w:rFonts w:hint="eastAsia" w:ascii="黑体" w:hAnsi="黑体" w:eastAsia="黑体"/>
          <w:bCs/>
          <w:sz w:val="32"/>
          <w:szCs w:val="32"/>
          <w:lang w:val="en-US" w:eastAsia="zh-CN"/>
        </w:rPr>
        <w:t>三、培训服务内容</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本次培训服务共包含5门课程，分别为：云原生技术与容器化实战培训、金融系统高可用分布式架构设计与运维实战培训、开源技术与运维自动化培训、itil4 Foundation培训及PMP项目管理培训。具体包括但不限于如下内容：</w:t>
      </w:r>
    </w:p>
    <w:tbl>
      <w:tblPr>
        <w:tblStyle w:val="6"/>
        <w:tblW w:w="5000" w:type="pct"/>
        <w:tblInd w:w="0" w:type="dxa"/>
        <w:tblLayout w:type="autofit"/>
        <w:tblCellMar>
          <w:top w:w="0" w:type="dxa"/>
          <w:left w:w="108" w:type="dxa"/>
          <w:bottom w:w="0" w:type="dxa"/>
          <w:right w:w="108" w:type="dxa"/>
        </w:tblCellMar>
      </w:tblPr>
      <w:tblGrid>
        <w:gridCol w:w="1572"/>
        <w:gridCol w:w="6950"/>
      </w:tblGrid>
      <w:tr>
        <w:tblPrEx>
          <w:tblCellMar>
            <w:top w:w="0" w:type="dxa"/>
            <w:left w:w="108" w:type="dxa"/>
            <w:bottom w:w="0" w:type="dxa"/>
            <w:right w:w="108" w:type="dxa"/>
          </w:tblCellMar>
        </w:tblPrEx>
        <w:trPr>
          <w:trHeight w:val="480" w:hRule="atLeast"/>
        </w:trPr>
        <w:tc>
          <w:tcPr>
            <w:tcW w:w="922"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after="0" w:afterLines="0" w:line="240" w:lineRule="auto"/>
              <w:ind w:firstLine="0" w:firstLineChars="0"/>
              <w:jc w:val="center"/>
              <w:rPr>
                <w:rFonts w:ascii="宋体" w:hAnsi="宋体" w:eastAsia="宋体" w:cs="宋体"/>
                <w:b/>
                <w:bCs/>
                <w:kern w:val="0"/>
                <w:sz w:val="24"/>
              </w:rPr>
            </w:pPr>
            <w:r>
              <w:rPr>
                <w:rFonts w:hint="eastAsia" w:ascii="宋体" w:hAnsi="宋体" w:eastAsia="宋体" w:cs="宋体"/>
                <w:b/>
                <w:bCs/>
                <w:kern w:val="0"/>
                <w:sz w:val="24"/>
              </w:rPr>
              <w:t>功能项</w:t>
            </w:r>
          </w:p>
        </w:tc>
        <w:tc>
          <w:tcPr>
            <w:tcW w:w="4077" w:type="pct"/>
            <w:tcBorders>
              <w:top w:val="single" w:color="auto" w:sz="4" w:space="0"/>
              <w:left w:val="nil"/>
              <w:bottom w:val="single" w:color="auto" w:sz="4" w:space="0"/>
              <w:right w:val="single" w:color="auto" w:sz="4" w:space="0"/>
            </w:tcBorders>
            <w:shd w:val="clear" w:color="000000" w:fill="D9D9D9"/>
            <w:vAlign w:val="center"/>
          </w:tcPr>
          <w:p>
            <w:pPr>
              <w:widowControl/>
              <w:spacing w:after="0" w:afterLines="0" w:line="240" w:lineRule="auto"/>
              <w:ind w:firstLine="0" w:firstLineChars="0"/>
              <w:jc w:val="center"/>
              <w:rPr>
                <w:rFonts w:hint="eastAsia" w:ascii="宋体" w:hAnsi="宋体" w:eastAsia="宋体" w:cs="宋体"/>
                <w:b/>
                <w:bCs/>
                <w:kern w:val="0"/>
                <w:sz w:val="24"/>
              </w:rPr>
            </w:pPr>
            <w:r>
              <w:rPr>
                <w:rFonts w:hint="eastAsia" w:ascii="宋体" w:hAnsi="宋体" w:eastAsia="宋体" w:cs="宋体"/>
                <w:b/>
                <w:bCs/>
                <w:kern w:val="0"/>
                <w:sz w:val="24"/>
              </w:rPr>
              <w:t>功能描述</w:t>
            </w:r>
          </w:p>
        </w:tc>
      </w:tr>
      <w:tr>
        <w:tblPrEx>
          <w:tblCellMar>
            <w:top w:w="0" w:type="dxa"/>
            <w:left w:w="108" w:type="dxa"/>
            <w:bottom w:w="0" w:type="dxa"/>
            <w:right w:w="108" w:type="dxa"/>
          </w:tblCellMar>
        </w:tblPrEx>
        <w:trPr>
          <w:trHeight w:val="400" w:hRule="atLeast"/>
        </w:trPr>
        <w:tc>
          <w:tcPr>
            <w:tcW w:w="92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lang w:val="en-US" w:eastAsia="zh-CN"/>
              </w:rPr>
              <w:t>云原生技术与容器化实战培训</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云平台技术基础与应用实践</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eastAsia="zh-CN"/>
              </w:rPr>
              <w:t>，包括</w:t>
            </w:r>
            <w:r>
              <w:rPr>
                <w:rFonts w:hint="eastAsia" w:ascii="宋体" w:hAnsi="宋体" w:eastAsia="宋体" w:cs="宋体"/>
                <w:kern w:val="0"/>
                <w:sz w:val="24"/>
              </w:rPr>
              <w:t>云原生核心架构与组件</w:t>
            </w:r>
            <w:r>
              <w:rPr>
                <w:rFonts w:hint="eastAsia" w:ascii="宋体" w:hAnsi="宋体" w:eastAsia="宋体" w:cs="宋体"/>
                <w:kern w:val="0"/>
                <w:sz w:val="24"/>
                <w:lang w:eastAsia="zh-CN"/>
              </w:rPr>
              <w:t>、</w:t>
            </w:r>
            <w:r>
              <w:rPr>
                <w:rFonts w:hint="eastAsia" w:ascii="宋体" w:hAnsi="宋体" w:eastAsia="宋体" w:cs="宋体"/>
                <w:kern w:val="0"/>
                <w:sz w:val="24"/>
              </w:rPr>
              <w:t>容器虚拟化</w:t>
            </w:r>
            <w:r>
              <w:rPr>
                <w:rFonts w:hint="eastAsia" w:ascii="宋体" w:hAnsi="宋体" w:eastAsia="宋体" w:cs="宋体"/>
                <w:kern w:val="0"/>
                <w:sz w:val="24"/>
                <w:lang w:eastAsia="zh-CN"/>
              </w:rPr>
              <w:t>、</w:t>
            </w:r>
            <w:r>
              <w:rPr>
                <w:rFonts w:hint="eastAsia" w:ascii="宋体" w:hAnsi="宋体" w:eastAsia="宋体" w:cs="宋体"/>
                <w:kern w:val="0"/>
                <w:sz w:val="24"/>
              </w:rPr>
              <w:t>编排工具Kubernetes</w:t>
            </w:r>
            <w:r>
              <w:rPr>
                <w:rFonts w:hint="eastAsia" w:ascii="宋体" w:hAnsi="宋体" w:eastAsia="宋体" w:cs="宋体"/>
                <w:kern w:val="0"/>
                <w:sz w:val="24"/>
                <w:lang w:eastAsia="zh-CN"/>
              </w:rPr>
              <w:t>、</w:t>
            </w:r>
            <w:r>
              <w:rPr>
                <w:rFonts w:hint="eastAsia" w:ascii="宋体" w:hAnsi="宋体" w:eastAsia="宋体" w:cs="宋体"/>
                <w:kern w:val="0"/>
                <w:sz w:val="24"/>
              </w:rPr>
              <w:t>大数据云原生化架构与关键技术</w:t>
            </w:r>
            <w:r>
              <w:rPr>
                <w:rFonts w:hint="eastAsia" w:ascii="宋体" w:hAnsi="宋体" w:eastAsia="宋体" w:cs="宋体"/>
                <w:kern w:val="0"/>
                <w:sz w:val="24"/>
                <w:lang w:eastAsia="zh-CN"/>
              </w:rPr>
              <w:t>、</w:t>
            </w:r>
            <w:r>
              <w:rPr>
                <w:rFonts w:hint="eastAsia" w:ascii="宋体" w:hAnsi="宋体" w:eastAsia="宋体" w:cs="宋体"/>
                <w:kern w:val="0"/>
                <w:sz w:val="24"/>
              </w:rPr>
              <w:t>大数据云原生化实践方案</w:t>
            </w:r>
            <w:r>
              <w:rPr>
                <w:rFonts w:hint="eastAsia" w:ascii="宋体" w:hAnsi="宋体" w:eastAsia="宋体" w:cs="宋体"/>
                <w:kern w:val="0"/>
                <w:sz w:val="24"/>
                <w:lang w:eastAsia="zh-CN"/>
              </w:rPr>
              <w:t>等。</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2.容器云技术与实践，包括云原生概念、容器基本知识、Kubernetes的基本概念、集群架构及原理、集群的安装、配置、管理和升级过程、组件及应用的日志和监控系统、调度策略和算法、应用程序的生命周期管理、安全、认证和授权机制、存储管理机制、API、服务和网络、网络模型的实现方式、故障排除方法及集群维护等。</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3.云原生开发实战，包括云原生关键技术、云原生架构及应用设计、微服务与Service Mesh、Istio设计理念、使用Service Mesh、Istio架构分析。</w:t>
            </w:r>
          </w:p>
        </w:tc>
      </w:tr>
      <w:tr>
        <w:tblPrEx>
          <w:tblCellMar>
            <w:top w:w="0" w:type="dxa"/>
            <w:left w:w="108" w:type="dxa"/>
            <w:bottom w:w="0" w:type="dxa"/>
            <w:right w:w="108" w:type="dxa"/>
          </w:tblCellMar>
        </w:tblPrEx>
        <w:trPr>
          <w:trHeight w:val="940" w:hRule="atLeast"/>
        </w:trPr>
        <w:tc>
          <w:tcPr>
            <w:tcW w:w="92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lang w:val="en-US" w:eastAsia="zh-CN"/>
              </w:rPr>
              <w:t>金融系统高可用分布式架构设计与运维实战培训</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1.云平台运维管理，包括云维护技术介绍、云维护和云安全的管理。</w:t>
            </w:r>
          </w:p>
        </w:tc>
      </w:tr>
      <w:tr>
        <w:tblPrEx>
          <w:tblCellMar>
            <w:top w:w="0" w:type="dxa"/>
            <w:left w:w="108" w:type="dxa"/>
            <w:bottom w:w="0" w:type="dxa"/>
            <w:right w:w="108" w:type="dxa"/>
          </w:tblCellMar>
        </w:tblPrEx>
        <w:trPr>
          <w:trHeight w:val="490" w:hRule="atLeast"/>
        </w:trPr>
        <w:tc>
          <w:tcPr>
            <w:tcW w:w="922"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2.云计算与分布式系统培训。包括服务器、存储和网络虚拟化技术、容器化工具与技术、微服务架构相关的容器化知识，以及 IaaS、PaaS、SaaS 三种云服务类型、云管平台的资源管理（如资源分配、弹性伸缩、负载均衡、容量规划）、成本控制（计费与预算管理、成本优化、资源利用率分析）和自动化与编排（工作流自动化、DevOps 支持、服务编排）等、分布式系统基础概念、可靠性、可扩展性、容错性设计原则以及数据一致性和事务管理策略、分布式业务系统对云资源的使用实践以及分布式系统的运维管理（部署与监控方法、日志管理与故障排查、性能优化与资源调优、成本控制与管理、安全与合规性）等。</w:t>
            </w:r>
          </w:p>
        </w:tc>
      </w:tr>
      <w:tr>
        <w:tblPrEx>
          <w:tblCellMar>
            <w:top w:w="0" w:type="dxa"/>
            <w:left w:w="108" w:type="dxa"/>
            <w:bottom w:w="0" w:type="dxa"/>
            <w:right w:w="108" w:type="dxa"/>
          </w:tblCellMar>
        </w:tblPrEx>
        <w:trPr>
          <w:trHeight w:val="460" w:hRule="atLeast"/>
        </w:trPr>
        <w:tc>
          <w:tcPr>
            <w:tcW w:w="922"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3.金融系统高可用分布式架构设计与实践。包括高并发高可用互联网架构核心设计、大型互联网高并发系统的分布式的架构设计、分布式缓存、分布式系统消息架构设计、大型互联网系统的高性能、高可用数据库架构设计、互联网高并发、高可用系统分布式缓存集群设计、存储管理高可用架构设计实践应用、分布式查询高可用架构设计、高可用架构设计如性能、监控、安全的应用实践、高可用金融信息系统的架构设计总结。</w:t>
            </w:r>
          </w:p>
        </w:tc>
      </w:tr>
      <w:tr>
        <w:tblPrEx>
          <w:tblCellMar>
            <w:top w:w="0" w:type="dxa"/>
            <w:left w:w="108" w:type="dxa"/>
            <w:bottom w:w="0" w:type="dxa"/>
            <w:right w:w="108" w:type="dxa"/>
          </w:tblCellMar>
        </w:tblPrEx>
        <w:trPr>
          <w:trHeight w:val="400" w:hRule="atLeast"/>
        </w:trPr>
        <w:tc>
          <w:tcPr>
            <w:tcW w:w="92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开源技术与运维自动化培训</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color w:val="FF0000"/>
                <w:kern w:val="0"/>
                <w:sz w:val="24"/>
                <w:lang w:val="en-US" w:eastAsia="zh-CN"/>
              </w:rPr>
              <w:t>.</w:t>
            </w:r>
            <w:r>
              <w:rPr>
                <w:rFonts w:hint="eastAsia" w:ascii="宋体" w:hAnsi="宋体" w:eastAsia="宋体" w:cs="宋体"/>
                <w:color w:val="000000" w:themeColor="text1"/>
                <w:kern w:val="0"/>
                <w:sz w:val="24"/>
                <w14:textFill>
                  <w14:solidFill>
                    <w14:schemeClr w14:val="tx1"/>
                  </w14:solidFill>
                </w14:textFill>
              </w:rPr>
              <w:t>开源技术基础与应用</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kern w:val="0"/>
                <w:sz w:val="24"/>
                <w:lang w:eastAsia="zh-CN"/>
              </w:rPr>
              <w:t>包括</w:t>
            </w:r>
            <w:r>
              <w:rPr>
                <w:rFonts w:hint="eastAsia" w:ascii="宋体" w:hAnsi="宋体" w:eastAsia="宋体" w:cs="宋体"/>
                <w:kern w:val="0"/>
                <w:sz w:val="24"/>
              </w:rPr>
              <w:t>开源技术概述</w:t>
            </w:r>
            <w:r>
              <w:rPr>
                <w:rFonts w:hint="eastAsia" w:ascii="宋体" w:hAnsi="宋体" w:eastAsia="宋体" w:cs="宋体"/>
                <w:kern w:val="0"/>
                <w:sz w:val="24"/>
                <w:lang w:eastAsia="zh-CN"/>
              </w:rPr>
              <w:t>、</w:t>
            </w:r>
            <w:r>
              <w:rPr>
                <w:rFonts w:hint="eastAsia" w:ascii="宋体" w:hAnsi="宋体" w:eastAsia="宋体" w:cs="宋体"/>
                <w:kern w:val="0"/>
                <w:sz w:val="24"/>
              </w:rPr>
              <w:t>开源生态系统</w:t>
            </w:r>
            <w:r>
              <w:rPr>
                <w:rFonts w:hint="eastAsia" w:ascii="宋体" w:hAnsi="宋体" w:eastAsia="宋体" w:cs="宋体"/>
                <w:kern w:val="0"/>
                <w:sz w:val="24"/>
                <w:lang w:eastAsia="zh-CN"/>
              </w:rPr>
              <w:t>、</w:t>
            </w:r>
            <w:r>
              <w:rPr>
                <w:rFonts w:hint="eastAsia" w:ascii="宋体" w:hAnsi="宋体" w:eastAsia="宋体" w:cs="宋体"/>
                <w:kern w:val="0"/>
                <w:sz w:val="24"/>
              </w:rPr>
              <w:t>常见的开源项目</w:t>
            </w:r>
            <w:r>
              <w:rPr>
                <w:rFonts w:hint="eastAsia" w:ascii="宋体" w:hAnsi="宋体" w:eastAsia="宋体" w:cs="宋体"/>
                <w:kern w:val="0"/>
                <w:sz w:val="24"/>
                <w:lang w:eastAsia="zh-CN"/>
              </w:rPr>
              <w:t>、</w:t>
            </w:r>
            <w:r>
              <w:rPr>
                <w:rFonts w:hint="eastAsia" w:ascii="宋体" w:hAnsi="宋体" w:eastAsia="宋体" w:cs="宋体"/>
                <w:kern w:val="0"/>
                <w:sz w:val="24"/>
              </w:rPr>
              <w:t>开源技术的安装和配置</w:t>
            </w:r>
            <w:r>
              <w:rPr>
                <w:rFonts w:hint="eastAsia" w:ascii="宋体" w:hAnsi="宋体" w:eastAsia="宋体" w:cs="宋体"/>
                <w:kern w:val="0"/>
                <w:sz w:val="24"/>
                <w:lang w:eastAsia="zh-CN"/>
              </w:rPr>
              <w:t>、</w:t>
            </w:r>
            <w:r>
              <w:rPr>
                <w:rFonts w:hint="eastAsia" w:ascii="宋体" w:hAnsi="宋体" w:eastAsia="宋体" w:cs="宋体"/>
                <w:kern w:val="0"/>
                <w:sz w:val="24"/>
              </w:rPr>
              <w:t>开源技术的实际应用</w:t>
            </w:r>
            <w:r>
              <w:rPr>
                <w:rFonts w:hint="eastAsia" w:ascii="宋体" w:hAnsi="宋体" w:eastAsia="宋体" w:cs="宋体"/>
                <w:kern w:val="0"/>
                <w:sz w:val="24"/>
                <w:lang w:eastAsia="zh-CN"/>
              </w:rPr>
              <w:t>及</w:t>
            </w:r>
            <w:r>
              <w:rPr>
                <w:rFonts w:hint="eastAsia" w:ascii="宋体" w:hAnsi="宋体" w:eastAsia="宋体" w:cs="宋体"/>
                <w:kern w:val="0"/>
                <w:sz w:val="24"/>
              </w:rPr>
              <w:t>开源技术的进阶应用</w:t>
            </w:r>
            <w:r>
              <w:rPr>
                <w:rFonts w:hint="eastAsia" w:ascii="宋体" w:hAnsi="宋体" w:eastAsia="宋体" w:cs="宋体"/>
                <w:kern w:val="0"/>
                <w:sz w:val="24"/>
                <w:lang w:eastAsia="zh-CN"/>
              </w:rPr>
              <w:t>。</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2.springboot进阶高级编程。包括iView、Spring Boot的企业级开发学习。iView、Spring Boot基础、快速掌握Spring MVC、过滤器、监听器与拦截器及异常和错误处理、定义RESTful风格的接口、使用MyBatis访问数据、使用MongoDB访问数据、安全框架-Spring Security、Spring Boot与缓存、Spring Boot集成Redis、Spring Boot集成RabbitMQ、集成Elasticsearch，提供搜索服务、Vue（iView） + Spring Boot项目实战。</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left"/>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b w:val="0"/>
                <w:kern w:val="0"/>
                <w:sz w:val="24"/>
                <w:szCs w:val="24"/>
                <w:lang w:val="en-US" w:eastAsia="zh-CN" w:bidi="ar-SA"/>
              </w:rPr>
              <w:t>运维知识图谱和自动化运维实践培训。</w:t>
            </w:r>
            <w:r>
              <w:rPr>
                <w:rFonts w:hint="default" w:ascii="宋体" w:hAnsi="宋体" w:eastAsia="宋体" w:cs="宋体"/>
                <w:b w:val="0"/>
                <w:kern w:val="0"/>
                <w:sz w:val="24"/>
                <w:szCs w:val="24"/>
                <w:lang w:val="en-US" w:eastAsia="zh-CN" w:bidi="ar-SA"/>
              </w:rPr>
              <w:t>DevOps和自动化运维的框架体系</w:t>
            </w:r>
            <w:r>
              <w:rPr>
                <w:rFonts w:hint="eastAsia" w:ascii="宋体" w:hAnsi="宋体" w:eastAsia="宋体" w:cs="宋体"/>
                <w:b w:val="0"/>
                <w:kern w:val="0"/>
                <w:sz w:val="24"/>
                <w:szCs w:val="24"/>
                <w:lang w:val="en-US" w:eastAsia="zh-CN" w:bidi="ar-SA"/>
              </w:rPr>
              <w:t>之</w:t>
            </w:r>
            <w:r>
              <w:rPr>
                <w:rFonts w:hint="default" w:ascii="宋体" w:hAnsi="宋体" w:eastAsia="宋体" w:cs="宋体"/>
                <w:b w:val="0"/>
                <w:kern w:val="0"/>
                <w:sz w:val="24"/>
                <w:szCs w:val="24"/>
                <w:lang w:val="en-US" w:eastAsia="zh-CN" w:bidi="ar-SA"/>
              </w:rPr>
              <w:t>整体设计模块</w:t>
            </w:r>
            <w:r>
              <w:rPr>
                <w:rFonts w:hint="eastAsia" w:ascii="宋体" w:hAnsi="宋体" w:eastAsia="宋体" w:cs="宋体"/>
                <w:b w:val="0"/>
                <w:kern w:val="0"/>
                <w:sz w:val="24"/>
                <w:szCs w:val="24"/>
                <w:lang w:val="en-US" w:eastAsia="zh-CN" w:bidi="ar-SA"/>
              </w:rPr>
              <w:t>及</w:t>
            </w:r>
            <w:r>
              <w:rPr>
                <w:rFonts w:hint="default" w:ascii="宋体" w:hAnsi="宋体" w:eastAsia="宋体" w:cs="宋体"/>
                <w:b w:val="0"/>
                <w:kern w:val="0"/>
                <w:sz w:val="24"/>
                <w:szCs w:val="24"/>
                <w:lang w:val="en-US" w:eastAsia="zh-CN" w:bidi="ar-SA"/>
              </w:rPr>
              <w:t>功能</w:t>
            </w:r>
            <w:r>
              <w:rPr>
                <w:rFonts w:hint="eastAsia" w:ascii="宋体" w:hAnsi="宋体" w:eastAsia="宋体" w:cs="宋体"/>
                <w:b w:val="0"/>
                <w:kern w:val="0"/>
                <w:sz w:val="24"/>
                <w:szCs w:val="24"/>
                <w:lang w:val="en-US" w:eastAsia="zh-CN" w:bidi="ar-SA"/>
              </w:rPr>
              <w:t>、</w:t>
            </w:r>
            <w:r>
              <w:rPr>
                <w:rFonts w:hint="default" w:ascii="宋体" w:hAnsi="宋体" w:eastAsia="宋体" w:cs="宋体"/>
                <w:b w:val="0"/>
                <w:kern w:val="0"/>
                <w:sz w:val="24"/>
                <w:szCs w:val="24"/>
                <w:lang w:val="en-US" w:eastAsia="zh-CN" w:bidi="ar-SA"/>
              </w:rPr>
              <w:t>CMDB、管控平台、作业平台、监控平台、持续交付的设计和实现方式。</w:t>
            </w:r>
          </w:p>
        </w:tc>
      </w:tr>
      <w:tr>
        <w:tblPrEx>
          <w:tblCellMar>
            <w:top w:w="0" w:type="dxa"/>
            <w:left w:w="108" w:type="dxa"/>
            <w:bottom w:w="0" w:type="dxa"/>
            <w:right w:w="108" w:type="dxa"/>
          </w:tblCellMar>
        </w:tblPrEx>
        <w:trPr>
          <w:trHeight w:val="400" w:hRule="atLeast"/>
        </w:trPr>
        <w:tc>
          <w:tcPr>
            <w:tcW w:w="922" w:type="pc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eastAsia" w:ascii="宋体" w:hAnsi="宋体" w:eastAsia="宋体" w:cs="宋体"/>
                <w:kern w:val="0"/>
                <w:sz w:val="24"/>
              </w:rPr>
            </w:pPr>
            <w:r>
              <w:rPr>
                <w:rFonts w:hint="eastAsia" w:ascii="宋体" w:hAnsi="宋体" w:eastAsia="宋体" w:cs="宋体"/>
                <w:b w:val="0"/>
                <w:kern w:val="0"/>
                <w:sz w:val="24"/>
                <w:szCs w:val="24"/>
                <w:lang w:val="en-US" w:eastAsia="zh-CN" w:bidi="ar-SA"/>
              </w:rPr>
              <w:t>itil4 Foundation培训</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val="0"/>
                <w:kern w:val="0"/>
                <w:sz w:val="24"/>
                <w:szCs w:val="24"/>
                <w:lang w:val="en-US" w:eastAsia="zh-CN" w:bidi="ar-SA"/>
              </w:rPr>
              <w:t>ITIL</w:t>
            </w:r>
            <w:r>
              <w:rPr>
                <w:rFonts w:hint="default" w:ascii="宋体" w:hAnsi="宋体" w:eastAsia="宋体" w:cs="宋体"/>
                <w:b w:val="0"/>
                <w:kern w:val="0"/>
                <w:sz w:val="24"/>
                <w:szCs w:val="24"/>
                <w:lang w:val="en-US" w:eastAsia="zh-CN" w:bidi="ar-SA"/>
              </w:rPr>
              <w:t xml:space="preserve"> 4</w:t>
            </w:r>
            <w:r>
              <w:rPr>
                <w:rFonts w:hint="eastAsia" w:ascii="宋体" w:hAnsi="宋体" w:eastAsia="宋体" w:cs="宋体"/>
                <w:b w:val="0"/>
                <w:kern w:val="0"/>
                <w:sz w:val="24"/>
                <w:szCs w:val="24"/>
                <w:lang w:val="en-US" w:eastAsia="zh-CN" w:bidi="ar-SA"/>
              </w:rPr>
              <w:t>的基础知识和通用管理实践、ITIL</w:t>
            </w:r>
            <w:r>
              <w:rPr>
                <w:rFonts w:hint="default" w:ascii="宋体" w:hAnsi="宋体" w:eastAsia="宋体" w:cs="宋体"/>
                <w:b w:val="0"/>
                <w:kern w:val="0"/>
                <w:sz w:val="24"/>
                <w:szCs w:val="24"/>
                <w:lang w:val="en-US" w:eastAsia="zh-CN" w:bidi="ar-SA"/>
              </w:rPr>
              <w:t xml:space="preserve"> 4的服务管理实践和技术管理实践</w:t>
            </w:r>
            <w:r>
              <w:rPr>
                <w:rFonts w:hint="eastAsia" w:ascii="宋体" w:hAnsi="宋体" w:eastAsia="宋体" w:cs="宋体"/>
                <w:b w:val="0"/>
                <w:kern w:val="0"/>
                <w:sz w:val="24"/>
                <w:szCs w:val="24"/>
                <w:lang w:val="en-US" w:eastAsia="zh-CN" w:bidi="ar-SA"/>
              </w:rPr>
              <w:t>。</w:t>
            </w:r>
          </w:p>
        </w:tc>
      </w:tr>
      <w:tr>
        <w:tblPrEx>
          <w:tblCellMar>
            <w:top w:w="0" w:type="dxa"/>
            <w:left w:w="108" w:type="dxa"/>
            <w:bottom w:w="0" w:type="dxa"/>
            <w:right w:w="108" w:type="dxa"/>
          </w:tblCellMar>
        </w:tblPrEx>
        <w:trPr>
          <w:trHeight w:val="330" w:hRule="atLeast"/>
        </w:trPr>
        <w:tc>
          <w:tcPr>
            <w:tcW w:w="922" w:type="pct"/>
            <w:tcBorders>
              <w:top w:val="nil"/>
              <w:left w:val="single" w:color="auto" w:sz="4" w:space="0"/>
              <w:bottom w:val="single" w:color="auto" w:sz="4" w:space="0"/>
              <w:right w:val="single" w:color="auto" w:sz="4" w:space="0"/>
            </w:tcBorders>
            <w:shd w:val="clear" w:color="auto" w:fill="auto"/>
            <w:vAlign w:val="center"/>
          </w:tcPr>
          <w:p>
            <w:pPr>
              <w:widowControl/>
              <w:spacing w:after="0" w:afterLines="0" w:line="240" w:lineRule="auto"/>
              <w:ind w:firstLine="0" w:firstLineChars="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PMP项目管理培训</w:t>
            </w:r>
          </w:p>
        </w:tc>
        <w:tc>
          <w:tcPr>
            <w:tcW w:w="4077" w:type="pct"/>
            <w:tcBorders>
              <w:top w:val="nil"/>
              <w:left w:val="nil"/>
              <w:bottom w:val="single" w:color="auto" w:sz="4" w:space="0"/>
              <w:right w:val="single" w:color="auto" w:sz="4" w:space="0"/>
            </w:tcBorders>
            <w:shd w:val="clear" w:color="auto" w:fill="auto"/>
            <w:vAlign w:val="center"/>
          </w:tcPr>
          <w:p>
            <w:pPr>
              <w:widowControl/>
              <w:spacing w:after="0" w:afterLines="0" w:line="240" w:lineRule="auto"/>
              <w:ind w:firstLine="0" w:firstLineChars="0"/>
              <w:jc w:val="left"/>
              <w:rPr>
                <w:rFonts w:hint="eastAsia" w:ascii="宋体" w:hAnsi="宋体" w:eastAsia="宋体" w:cs="宋体"/>
                <w:kern w:val="0"/>
                <w:sz w:val="24"/>
              </w:rPr>
            </w:pPr>
            <w:r>
              <w:rPr>
                <w:rFonts w:hint="eastAsia" w:ascii="宋体" w:hAnsi="宋体" w:eastAsia="宋体" w:cs="宋体"/>
                <w:b w:val="0"/>
                <w:kern w:val="0"/>
                <w:sz w:val="24"/>
                <w:szCs w:val="24"/>
                <w:lang w:val="en-US" w:eastAsia="zh-CN" w:bidi="ar-SA"/>
              </w:rPr>
              <w:t>项目管理的价值、项目管理的底层逻辑、项目管理价值交付系统、战略与商业环境、商业管理的基本原则、项目价值规划、评估与交付、组织变革及项目的适应型、项目人管理、项目领导力风格、项目团队管理、项目绩效评估、项目管理的经典过程、项目的质量管理、项目的过程规划与裁剪、项目工作的管理、敏捷项目管理（敏捷宣言、原则、Scrum流程、敏捷实践、看板体系、混合方法）及考前培训辅导。</w:t>
            </w:r>
          </w:p>
        </w:tc>
      </w:tr>
    </w:tbl>
    <w:p>
      <w:pPr>
        <w:pStyle w:val="2"/>
        <w:keepNext w:val="0"/>
        <w:keepLines w:val="0"/>
        <w:pageBreakBefore w:val="0"/>
        <w:kinsoku/>
        <w:wordWrap/>
        <w:overflowPunct/>
        <w:topLinePunct w:val="0"/>
        <w:autoSpaceDE/>
        <w:autoSpaceDN/>
        <w:bidi w:val="0"/>
        <w:adjustRightInd/>
        <w:snapToGrid/>
        <w:spacing w:beforeLines="50" w:line="620" w:lineRule="exact"/>
        <w:ind w:firstLine="576" w:firstLineChars="180"/>
        <w:jc w:val="both"/>
        <w:textAlignment w:val="auto"/>
        <w:rPr>
          <w:rFonts w:hint="eastAsia" w:ascii="黑体" w:hAnsi="黑体" w:eastAsia="黑体"/>
          <w:bCs/>
          <w:sz w:val="32"/>
          <w:szCs w:val="32"/>
          <w:lang w:val="en-US" w:eastAsia="zh-CN"/>
        </w:rPr>
      </w:pPr>
      <w:r>
        <w:rPr>
          <w:rFonts w:hint="eastAsia" w:ascii="黑体" w:hAnsi="黑体" w:eastAsia="黑体"/>
          <w:bCs/>
          <w:sz w:val="32"/>
          <w:szCs w:val="32"/>
          <w:lang w:val="en-US" w:eastAsia="zh-CN"/>
        </w:rPr>
        <w:t>四、培训时间及方式</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1、培训时间：云原生技术与容器化实战培训、金融系统高可用分布式架构设计与运维实战培训、开源技术与运维自动化培训及PMP项目管理培训时长均为7天，itil4 Foundation培训时长为2天，拟于9月底前在我行办公场地进行现场授课。</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sz w:val="32"/>
          <w:szCs w:val="32"/>
          <w:lang w:val="en-US" w:eastAsia="zh-CN"/>
        </w:rPr>
        <w:t>2、培训</w:t>
      </w:r>
      <w:r>
        <w:rPr>
          <w:rFonts w:hint="eastAsia" w:ascii="仿宋_GB2312" w:hAnsi="宋体" w:eastAsia="仿宋_GB2312" w:cs="Times New Roman"/>
          <w:color w:val="auto"/>
          <w:sz w:val="32"/>
          <w:szCs w:val="32"/>
          <w:lang w:val="en-US" w:eastAsia="zh-CN"/>
        </w:rPr>
        <w:t>方式：以上课程均采取专业培训机构老师行内现场授课的方式。</w:t>
      </w:r>
    </w:p>
    <w:p>
      <w:pPr>
        <w:pStyle w:val="2"/>
        <w:keepNext w:val="0"/>
        <w:keepLines w:val="0"/>
        <w:pageBreakBefore w:val="0"/>
        <w:numPr>
          <w:ilvl w:val="0"/>
          <w:numId w:val="1"/>
        </w:numPr>
        <w:kinsoku/>
        <w:wordWrap/>
        <w:overflowPunct/>
        <w:topLinePunct w:val="0"/>
        <w:autoSpaceDE/>
        <w:autoSpaceDN/>
        <w:bidi w:val="0"/>
        <w:adjustRightInd/>
        <w:snapToGrid/>
        <w:spacing w:beforeLines="50" w:line="620" w:lineRule="exact"/>
        <w:ind w:hanging="572"/>
        <w:jc w:val="both"/>
        <w:textAlignment w:val="auto"/>
        <w:rPr>
          <w:rFonts w:ascii="黑体" w:hAnsi="黑体" w:eastAsia="黑体"/>
          <w:bCs/>
          <w:sz w:val="32"/>
          <w:szCs w:val="32"/>
          <w:lang w:val="en-US" w:eastAsia="zh-CN"/>
        </w:rPr>
      </w:pPr>
      <w:r>
        <w:rPr>
          <w:rFonts w:hint="eastAsia" w:ascii="黑体" w:hAnsi="黑体" w:eastAsia="黑体"/>
          <w:bCs/>
          <w:sz w:val="32"/>
          <w:szCs w:val="32"/>
          <w:lang w:val="en-US" w:eastAsia="zh-CN"/>
        </w:rPr>
        <w:t>服务要求</w:t>
      </w:r>
    </w:p>
    <w:p>
      <w:pPr>
        <w:keepNext w:val="0"/>
        <w:keepLines w:val="0"/>
        <w:pageBreakBefore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需由中标方全程为招标方提供培训服务，不可对中标培训服务进行转包。</w:t>
      </w:r>
    </w:p>
    <w:p>
      <w:pPr>
        <w:keepNext w:val="0"/>
        <w:keepLines w:val="0"/>
        <w:pageBreakBefore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both"/>
        <w:textAlignment w:val="auto"/>
        <w:rPr>
          <w:rFonts w:hint="eastAsia" w:ascii="仿宋_GB2312" w:hAnsi="宋体" w:eastAsia="仿宋_GB2312" w:cs="Times New Roman"/>
          <w:b w:val="0"/>
          <w:bCs w:val="0"/>
          <w:i w:val="0"/>
          <w:iCs w:val="0"/>
          <w:sz w:val="32"/>
          <w:szCs w:val="32"/>
          <w:lang w:val="en-US" w:eastAsia="zh-CN"/>
        </w:rPr>
      </w:pPr>
      <w:r>
        <w:rPr>
          <w:rFonts w:hint="eastAsia" w:ascii="仿宋_GB2312" w:hAnsi="宋体" w:eastAsia="仿宋_GB2312" w:cs="Times New Roman"/>
          <w:sz w:val="32"/>
          <w:szCs w:val="32"/>
          <w:lang w:val="en-US" w:eastAsia="zh-CN"/>
        </w:rPr>
        <w:t>中标方需为所有参训学员制定培训方案，保障整个培训流程及学员前后期答疑，</w:t>
      </w:r>
      <w:r>
        <w:rPr>
          <w:rFonts w:hint="eastAsia" w:ascii="仿宋_GB2312" w:hAnsi="宋体" w:eastAsia="仿宋_GB2312" w:cs="Times New Roman"/>
          <w:b w:val="0"/>
          <w:bCs w:val="0"/>
          <w:i w:val="0"/>
          <w:iCs w:val="0"/>
          <w:sz w:val="32"/>
          <w:szCs w:val="32"/>
          <w:lang w:val="en-US" w:eastAsia="zh-CN"/>
        </w:rPr>
        <w:t>并提供完整课程录播视频。</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3、中标方需向所有参训学员提供完整培训讲义、知识点习题及</w:t>
      </w:r>
      <w:r>
        <w:rPr>
          <w:rFonts w:hint="eastAsia" w:ascii="仿宋_GB2312" w:hAnsi="宋体" w:eastAsia="仿宋_GB2312" w:cs="Times New Roman"/>
          <w:b w:val="0"/>
          <w:bCs w:val="0"/>
          <w:i w:val="0"/>
          <w:iCs w:val="0"/>
          <w:sz w:val="32"/>
          <w:szCs w:val="32"/>
          <w:lang w:val="en-US" w:eastAsia="zh-CN"/>
        </w:rPr>
        <w:t>官</w:t>
      </w:r>
      <w:r>
        <w:rPr>
          <w:rFonts w:hint="eastAsia" w:ascii="仿宋_GB2312" w:hAnsi="宋体" w:eastAsia="仿宋_GB2312" w:cs="Times New Roman"/>
          <w:sz w:val="32"/>
          <w:szCs w:val="32"/>
          <w:lang w:val="en-US" w:eastAsia="zh-CN"/>
        </w:rPr>
        <w:t>方模拟考试题。</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left"/>
        <w:textAlignment w:val="auto"/>
        <w:rPr>
          <w:rFonts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sz w:val="32"/>
          <w:szCs w:val="32"/>
          <w:lang w:val="en-US" w:eastAsia="zh-CN"/>
        </w:rPr>
        <w:t>4、课程结束后，中标方提供15名PMP、15名PeopleCert™ ITIL 4 Foundation认证考试约考服务，</w:t>
      </w:r>
      <w:r>
        <w:rPr>
          <w:rFonts w:hint="eastAsia" w:ascii="仿宋_GB2312" w:hAnsi="宋体" w:eastAsia="仿宋_GB2312" w:cs="Times New Roman"/>
          <w:color w:val="auto"/>
          <w:sz w:val="32"/>
          <w:szCs w:val="32"/>
          <w:highlight w:val="none"/>
          <w:lang w:val="en-US" w:eastAsia="zh-CN"/>
        </w:rPr>
        <w:t>在此期间中标方需提供课后答疑服务至每名学员考试结束，该过程产生的培训费、认证考试费以及相关资料等全部费用由中标方承担。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6、因中标方原因导致培训时间延长等所产生的所有费用，由中标方承担。</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Lines="50" w:line="620" w:lineRule="exact"/>
        <w:ind w:hanging="572"/>
        <w:jc w:val="both"/>
        <w:textAlignment w:val="auto"/>
        <w:rPr>
          <w:rFonts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材料要求</w:t>
      </w:r>
      <w:bookmarkStart w:id="0" w:name="_GoBack"/>
      <w:bookmarkEnd w:id="0"/>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b w:val="0"/>
          <w:bCs w:val="0"/>
          <w:i w:val="0"/>
          <w:iCs w:val="0"/>
          <w:sz w:val="32"/>
          <w:lang w:val="en-US" w:eastAsia="zh-CN"/>
        </w:rPr>
      </w:pPr>
      <w:r>
        <w:rPr>
          <w:rFonts w:hint="eastAsia" w:ascii="Times New Roman" w:hAnsi="Times New Roman" w:eastAsia="仿宋_GB2312" w:cs="仿宋_GB2312"/>
          <w:sz w:val="32"/>
          <w:lang w:val="en-US" w:eastAsia="zh-CN"/>
        </w:rPr>
        <w:t>1、提供近三年（2022年1月1日至今）与本项目相近的培训采购合同案例，包括：采购合同首页、采购产品内容/配置页、甲乙双方盖章页。上述材料如果为复印件，需要加盖原厂商公章，如果提供的材料为多页，还需要在每页加盖骑缝章。</w:t>
      </w:r>
      <w:r>
        <w:rPr>
          <w:rFonts w:hint="eastAsia" w:ascii="Times New Roman" w:hAnsi="Times New Roman" w:eastAsia="仿宋_GB2312" w:cs="仿宋_GB2312"/>
          <w:b w:val="0"/>
          <w:bCs w:val="0"/>
          <w:i w:val="0"/>
          <w:iCs w:val="0"/>
          <w:color w:val="000000" w:themeColor="text1"/>
          <w:sz w:val="32"/>
          <w:lang w:val="en-US" w:eastAsia="zh-CN"/>
          <w14:textFill>
            <w14:solidFill>
              <w14:schemeClr w14:val="tx1"/>
            </w14:solidFill>
          </w14:textFill>
        </w:rPr>
        <w:t>案例范围包括以下银行总行：中国人民银行；中国农业发展银行、国家开发银行和中国进出口银行（含直属机构）；列入系统重要性银行的国有</w:t>
      </w:r>
      <w:r>
        <w:rPr>
          <w:rFonts w:hint="eastAsia" w:ascii="Times New Roman" w:hAnsi="Times New Roman" w:eastAsia="仿宋_GB2312" w:cs="仿宋_GB2312"/>
          <w:b w:val="0"/>
          <w:bCs w:val="0"/>
          <w:i w:val="0"/>
          <w:iCs w:val="0"/>
          <w:sz w:val="32"/>
          <w:lang w:val="en-US" w:eastAsia="zh-CN"/>
        </w:rPr>
        <w:t>大型银行，包括中国工商银行、中国银行、中国建设银行、中国农业银行、交通银行、中国邮政储蓄银行；列入系统重要性银行的股份制商业银行，包括招商银行、兴业银行、浦发银行、中信银行、中国民生银行、平安银行、中国光大银行、华夏银行、广发银行；列入系统重要性银行的城市商业银行，包括宁波银行、上海银行、江苏银行、南京银行、北京银行。</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2、提供培训课程安排及方案等材料；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3、提供供应商认为需要反馈的其他材料；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4、提供代表供应商参与本项目的联系人、联系电话、单位邮箱，以及公司授权说明文件、授权人身份证明复印件等材料；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5、请供应商按上述要求提供报名材料。对于无法提供的内容，也请具体说明原因；</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6、以上材料均需加盖单位公章。</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20" w:lineRule="exact"/>
        <w:jc w:val="both"/>
        <w:textAlignment w:val="auto"/>
        <w:rPr>
          <w:rFonts w:hint="eastAsia" w:ascii="Times New Roman" w:hAnsi="Times New Roman" w:eastAsia="仿宋_GB2312" w:cs="仿宋_GB2312"/>
          <w:sz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附表1.</w:t>
      </w:r>
    </w:p>
    <w:tbl>
      <w:tblPr>
        <w:tblStyle w:val="7"/>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供应商基本信息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kern w:val="2"/>
                <w:sz w:val="32"/>
                <w:szCs w:val="24"/>
                <w:vertAlign w:val="baseline"/>
                <w:lang w:val="en-US" w:eastAsia="zh-CN" w:bidi="ar-SA"/>
              </w:rPr>
            </w:pPr>
            <w:r>
              <w:rPr>
                <w:rFonts w:hint="eastAsia" w:asciiTheme="minorEastAsia" w:hAnsiTheme="minorEastAsia" w:eastAsiaTheme="minorEastAsia" w:cstheme="minorEastAsia"/>
                <w:b w:val="0"/>
                <w:bCs w:val="0"/>
                <w:sz w:val="22"/>
                <w:szCs w:val="20"/>
                <w:vertAlign w:val="baseli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成立时间</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kern w:val="2"/>
                <w:sz w:val="24"/>
                <w:szCs w:val="24"/>
                <w:vertAlign w:val="baseline"/>
                <w:lang w:val="en-US" w:eastAsia="zh-CN" w:bidi="ar-SA"/>
              </w:rPr>
            </w:pPr>
            <w:r>
              <w:rPr>
                <w:rFonts w:hint="eastAsia" w:ascii="Times New Roman" w:hAnsi="Times New Roman" w:eastAsia="仿宋_GB2312" w:cs="黑体"/>
                <w:sz w:val="24"/>
                <w:vertAlign w:val="baseline"/>
                <w:lang w:val="en-US" w:eastAsia="zh-CN"/>
              </w:rPr>
              <w:t xml:space="preserve">    年  月  日</w:t>
            </w: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企业法人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注册资本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（万元）</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联系人及联系方式</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国别</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资质情况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（如无请说明）</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培训项目案例情况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r>
              <w:rPr>
                <w:rFonts w:hint="eastAsia" w:asciiTheme="minorEastAsia" w:hAnsiTheme="minorEastAsia" w:eastAsiaTheme="minorEastAsia" w:cstheme="minorEastAsia"/>
                <w:b w:val="0"/>
                <w:bCs w:val="0"/>
                <w:sz w:val="22"/>
                <w:szCs w:val="20"/>
                <w:vertAlign w:val="baseline"/>
                <w:lang w:val="en-US" w:eastAsia="zh-CN"/>
              </w:rPr>
              <w:t>（请优先填写时间较近、规模较大的案例，数量无上限要求）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序号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客户全称</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项目全称</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合同签订时间</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项目规模</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项目性质</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项目主要内容</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其他需要说明的事项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注：可补充其他佐证材料。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附表2.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p>
    <w:tbl>
      <w:tblPr>
        <w:tblStyle w:val="6"/>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52"/>
                <w:szCs w:val="52"/>
                <w:u w:val="none"/>
              </w:rPr>
            </w:pPr>
            <w:r>
              <w:rPr>
                <w:rFonts w:hint="eastAsia" w:ascii="华文中宋" w:hAnsi="华文中宋" w:eastAsia="华文中宋" w:cs="华文中宋"/>
                <w:i w:val="0"/>
                <w:iCs w:val="0"/>
                <w:color w:val="000000"/>
                <w:kern w:val="0"/>
                <w:sz w:val="52"/>
                <w:szCs w:val="52"/>
                <w:u w:val="none"/>
                <w:lang w:val="en-US" w:eastAsia="zh-CN" w:bidi="ar"/>
              </w:rPr>
              <w:t>关于运维中心培训项目调研项目的授权书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9"/>
                <w:lang w:val="en-US" w:eastAsia="zh-CN" w:bidi="ar"/>
              </w:rPr>
            </w:pPr>
            <w:r>
              <w:rPr>
                <w:rStyle w:val="9"/>
                <w:lang w:val="en-US" w:eastAsia="zh-CN" w:bidi="ar"/>
              </w:rPr>
              <w:t>中国农业发展银行：</w:t>
            </w:r>
            <w:r>
              <w:rPr>
                <w:rStyle w:val="9"/>
                <w:lang w:val="en-US" w:eastAsia="zh-CN" w:bidi="ar"/>
              </w:rPr>
              <w:br w:type="textWrapping"/>
            </w:r>
            <w:r>
              <w:rPr>
                <w:rStyle w:val="9"/>
                <w:lang w:val="en-US" w:eastAsia="zh-CN" w:bidi="ar"/>
              </w:rPr>
              <w:t xml:space="preserve"> </w:t>
            </w:r>
            <w:r>
              <w:rPr>
                <w:rStyle w:val="9"/>
                <w:rFonts w:hint="eastAsia"/>
                <w:lang w:val="en-US" w:eastAsia="zh-CN" w:bidi="ar"/>
              </w:rPr>
              <w:t xml:space="preserve"> </w:t>
            </w:r>
            <w:r>
              <w:rPr>
                <w:rStyle w:val="9"/>
                <w:lang w:val="en-US" w:eastAsia="zh-CN" w:bidi="ar"/>
              </w:rPr>
              <w:t xml:space="preserve">  今通过公开发布渠道知悉贵行拟开展运维中心</w:t>
            </w:r>
            <w:r>
              <w:rPr>
                <w:rStyle w:val="9"/>
                <w:rFonts w:hint="eastAsia"/>
                <w:lang w:val="en-US" w:eastAsia="zh-CN" w:bidi="ar"/>
              </w:rPr>
              <w:t>培训项目</w:t>
            </w:r>
            <w:r>
              <w:rPr>
                <w:rStyle w:val="9"/>
                <w:lang w:val="en-US" w:eastAsia="zh-CN" w:bidi="ar"/>
              </w:rPr>
              <w:t>方案制订工作，现授权我公司xxx人员和贵司经办人员开展以上工作，并在整个项目经办过程承诺如下：</w:t>
            </w:r>
            <w:r>
              <w:rPr>
                <w:rStyle w:val="9"/>
                <w:lang w:val="en-US" w:eastAsia="zh-CN" w:bidi="ar"/>
              </w:rPr>
              <w:br w:type="textWrapping"/>
            </w:r>
            <w:r>
              <w:rPr>
                <w:rStyle w:val="9"/>
                <w:lang w:val="en-US" w:eastAsia="zh-CN" w:bidi="ar"/>
              </w:rPr>
              <w:t>1.对于客户经理提交材料的承诺，承诺提交邮件（官方邮箱地址）、书面（授权相关材料客户经理签字生效）等材料代表公司。</w:t>
            </w:r>
            <w:r>
              <w:rPr>
                <w:rStyle w:val="9"/>
                <w:lang w:val="en-US" w:eastAsia="zh-CN" w:bidi="ar"/>
              </w:rPr>
              <w:br w:type="textWrapping"/>
            </w:r>
            <w:r>
              <w:rPr>
                <w:rStyle w:val="9"/>
                <w:lang w:val="en-US" w:eastAsia="zh-CN" w:bidi="ar"/>
              </w:rPr>
              <w:t>2.廉洁承诺。</w:t>
            </w:r>
          </w:p>
          <w:p>
            <w:pPr>
              <w:keepNext w:val="0"/>
              <w:keepLines w:val="0"/>
              <w:widowControl/>
              <w:suppressLineNumbers w:val="0"/>
              <w:jc w:val="left"/>
              <w:textAlignment w:val="top"/>
              <w:rPr>
                <w:rStyle w:val="9"/>
                <w:lang w:val="en-US" w:eastAsia="zh-CN" w:bidi="ar"/>
              </w:rPr>
            </w:pPr>
            <w:r>
              <w:rPr>
                <w:rStyle w:val="9"/>
                <w:lang w:val="en-US" w:eastAsia="zh-CN" w:bidi="ar"/>
              </w:rPr>
              <w:br w:type="textWrapping"/>
            </w:r>
            <w:r>
              <w:rPr>
                <w:rStyle w:val="9"/>
                <w:lang w:val="en-US" w:eastAsia="zh-CN" w:bidi="ar"/>
              </w:rPr>
              <w:t xml:space="preserve">                                                                  </w:t>
            </w:r>
            <w:r>
              <w:rPr>
                <w:rStyle w:val="9"/>
                <w:rFonts w:hint="eastAsia"/>
                <w:i w:val="0"/>
                <w:iCs w:val="0"/>
                <w:color w:val="000000"/>
                <w:lang w:val="en-US" w:eastAsia="zh-CN" w:bidi="ar"/>
              </w:rPr>
              <w:t>xxxxxx</w:t>
            </w:r>
            <w:r>
              <w:rPr>
                <w:rStyle w:val="9"/>
                <w:lang w:val="en-US" w:eastAsia="zh-CN" w:bidi="ar"/>
              </w:rPr>
              <w:t xml:space="preserve">公司    </w:t>
            </w:r>
          </w:p>
          <w:p>
            <w:pPr>
              <w:keepNext w:val="0"/>
              <w:keepLines w:val="0"/>
              <w:widowControl/>
              <w:suppressLineNumbers w:val="0"/>
              <w:ind w:firstLine="7440" w:firstLineChars="3100"/>
              <w:jc w:val="left"/>
              <w:textAlignment w:val="top"/>
              <w:rPr>
                <w:rStyle w:val="9"/>
                <w:lang w:val="en-US" w:eastAsia="zh-CN" w:bidi="ar"/>
              </w:rPr>
            </w:pPr>
            <w:r>
              <w:rPr>
                <w:rStyle w:val="9"/>
                <w:lang w:val="en-US" w:eastAsia="zh-CN" w:bidi="ar"/>
              </w:rPr>
              <w:t xml:space="preserve"> xxxx年xx月xx日</w:t>
            </w:r>
          </w:p>
          <w:p>
            <w:pPr>
              <w:keepNext w:val="0"/>
              <w:keepLines w:val="0"/>
              <w:widowControl/>
              <w:suppressLineNumbers w:val="0"/>
              <w:ind w:firstLine="7440" w:firstLineChars="3100"/>
              <w:jc w:val="left"/>
              <w:textAlignment w:val="top"/>
              <w:rPr>
                <w:rStyle w:val="9"/>
                <w:rFonts w:hint="eastAsia"/>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jc w:val="left"/>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36"/>
          <w:szCs w:val="36"/>
          <w:lang w:val="en-US" w:eastAsia="zh-CN"/>
        </w:rPr>
        <w:t>附件3</w:t>
      </w:r>
      <w:r>
        <w:rPr>
          <w:rFonts w:hint="eastAsia" w:ascii="华文中宋" w:hAnsi="华文中宋" w:eastAsia="华文中宋" w:cs="华文中宋"/>
          <w:b/>
          <w:bCs/>
          <w:sz w:val="44"/>
          <w:szCs w:val="44"/>
          <w:lang w:val="en-US" w:eastAsia="zh-CN"/>
        </w:rPr>
        <w:t xml:space="preserve">                   </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u w:val="single"/>
          <w:lang w:val="en-US" w:eastAsia="zh-CN"/>
        </w:rPr>
        <w:t>中国农业发展银行运维中心培训项目</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pPr>
        <w:ind w:firstLine="8000" w:firstLineChars="2500"/>
        <w:rPr>
          <w:rFonts w:hint="eastAsia" w:ascii="仿宋_GB2312" w:hAnsi="仿宋_GB2312" w:eastAsia="仿宋_GB2312" w:cs="仿宋_GB2312"/>
          <w:sz w:val="32"/>
          <w:szCs w:val="32"/>
          <w:lang w:val="en-US" w:eastAsia="zh-CN"/>
        </w:rPr>
      </w:pPr>
    </w:p>
    <w:p>
      <w:pPr>
        <w:ind w:firstLine="8000" w:firstLineChars="2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pPr>
        <w:ind w:firstLine="8000" w:firstLineChars="2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lang w:val="en-US" w:eastAsia="zh-CN"/>
        </w:rPr>
        <w:t xml:space="preserve"> 中国农业发展银行运维中心培训项目组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根据国家相关法律法规，为预防商务往来的违法违纪事件发生，甲方、乙方</w:t>
      </w:r>
      <w:r>
        <w:rPr>
          <w:rFonts w:hint="eastAsia" w:ascii="仿宋_GB2312" w:hAnsi="仿宋_GB2312" w:eastAsia="仿宋_GB2312" w:cs="仿宋_GB2312"/>
          <w:sz w:val="32"/>
          <w:szCs w:val="32"/>
          <w:lang w:val="en-US" w:eastAsia="zh-CN"/>
        </w:rPr>
        <w:t>承诺</w:t>
      </w:r>
      <w:r>
        <w:rPr>
          <w:rFonts w:hint="eastAsia" w:ascii="仿宋_GB2312" w:hAnsi="仿宋_GB2312" w:eastAsia="仿宋_GB2312" w:cs="仿宋_GB2312"/>
          <w:sz w:val="32"/>
          <w:szCs w:val="32"/>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一、甲</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、甲方</w:t>
      </w:r>
      <w:r>
        <w:rPr>
          <w:rFonts w:hint="eastAsia" w:ascii="仿宋_GB2312" w:hAnsi="仿宋_GB2312" w:eastAsia="仿宋_GB2312" w:cs="仿宋_GB2312"/>
          <w:b/>
          <w:bCs/>
          <w:sz w:val="32"/>
          <w:szCs w:val="32"/>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三）甲方有权</w:t>
      </w:r>
      <w:r>
        <w:rPr>
          <w:rFonts w:hint="eastAsia" w:ascii="仿宋_GB2312" w:hAnsi="仿宋_GB2312" w:eastAsia="仿宋_GB2312" w:cs="仿宋_GB2312"/>
          <w:sz w:val="32"/>
          <w:szCs w:val="32"/>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left"/>
        <w:textAlignment w:val="auto"/>
        <w:outlineLvl w:val="9"/>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、乙方</w:t>
      </w:r>
      <w:r>
        <w:rPr>
          <w:rFonts w:hint="eastAsia" w:ascii="仿宋_GB2312" w:hAnsi="仿宋_GB2312" w:eastAsia="仿宋_GB2312" w:cs="仿宋_GB2312"/>
          <w:b/>
          <w:bCs/>
          <w:sz w:val="32"/>
          <w:szCs w:val="32"/>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（一）乙方承诺遵守甲方在诚信经营</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廉洁从业方面的各项制度和规定，</w:t>
      </w:r>
      <w:r>
        <w:rPr>
          <w:rFonts w:hint="eastAsia" w:ascii="仿宋_GB2312" w:hAnsi="仿宋_GB2312" w:eastAsia="仿宋_GB2312" w:cs="仿宋_GB2312"/>
          <w:sz w:val="32"/>
          <w:szCs w:val="32"/>
          <w:lang w:eastAsia="zh-CN"/>
        </w:rPr>
        <w:t>以及相关党纪党规、国家法律</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.赠送</w:t>
      </w:r>
      <w:r>
        <w:rPr>
          <w:rFonts w:hint="eastAsia" w:ascii="仿宋_GB2312" w:hAnsi="仿宋_GB2312" w:eastAsia="仿宋_GB2312" w:cs="仿宋_GB2312"/>
          <w:sz w:val="32"/>
          <w:szCs w:val="32"/>
          <w:lang w:val="en-US" w:eastAsia="zh-CN"/>
        </w:rPr>
        <w:t>回扣、红包、礼金、购物卡、有价证券、贵重物品和好处费、感谢费等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4.为甲方人员购置或提供通讯工具、交通工具和高档办公用品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.允许甲方人员或其亲属、特定关系人在</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.利用资源为甲方人员或其亲友</w:t>
      </w:r>
      <w:r>
        <w:rPr>
          <w:rFonts w:hint="eastAsia" w:ascii="仿宋_GB2312" w:hAnsi="仿宋_GB2312" w:eastAsia="仿宋_GB2312" w:cs="仿宋_GB2312"/>
          <w:sz w:val="32"/>
          <w:szCs w:val="32"/>
          <w:lang w:val="en-US" w:eastAsia="zh-CN"/>
        </w:rPr>
        <w:t>非法</w:t>
      </w:r>
      <w:r>
        <w:rPr>
          <w:rFonts w:hint="eastAsia" w:ascii="仿宋_GB2312" w:hAnsi="仿宋_GB2312" w:eastAsia="仿宋_GB2312" w:cs="仿宋_GB2312"/>
          <w:sz w:val="32"/>
          <w:szCs w:val="32"/>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甲方人员</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可能影响公正执行公务的宴请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.参加甲方人员婚丧嫁娶等活动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提供不正当利益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.违反国家法律法规、甲方相关规定等其他不廉洁行为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16.违反不诚信行为等（详见附件《</w:t>
      </w:r>
      <w:r>
        <w:rPr>
          <w:rFonts w:hint="eastAsia" w:ascii="仿宋_GB2312" w:hAnsi="仿宋_GB2312" w:eastAsia="仿宋_GB2312" w:cs="仿宋_GB2312"/>
          <w:b w:val="0"/>
          <w:bCs w:val="0"/>
          <w:sz w:val="32"/>
          <w:szCs w:val="32"/>
          <w:lang w:val="en-US" w:eastAsia="zh-CN"/>
        </w:rPr>
        <w:t>诚信承诺函》）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（三）乙方发现甲方人员有不廉洁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不诚信</w:t>
      </w:r>
      <w:r>
        <w:rPr>
          <w:rFonts w:hint="eastAsia" w:ascii="仿宋_GB2312" w:hAnsi="仿宋_GB2312" w:eastAsia="仿宋_GB2312" w:cs="仿宋_GB2312"/>
          <w:sz w:val="32"/>
          <w:szCs w:val="32"/>
        </w:rPr>
        <w:t>行为，应及时向</w:t>
      </w:r>
      <w:r>
        <w:rPr>
          <w:rFonts w:hint="eastAsia" w:ascii="仿宋_GB2312" w:hAnsi="仿宋_GB2312" w:eastAsia="仿宋_GB2312" w:cs="仿宋_GB2312"/>
          <w:sz w:val="32"/>
          <w:szCs w:val="32"/>
          <w:lang w:eastAsia="zh-CN"/>
        </w:rPr>
        <w:t>甲方相关</w:t>
      </w:r>
      <w:r>
        <w:rPr>
          <w:rFonts w:hint="eastAsia" w:ascii="仿宋_GB2312" w:hAnsi="仿宋_GB2312" w:eastAsia="仿宋_GB2312" w:cs="仿宋_GB2312"/>
          <w:sz w:val="32"/>
          <w:szCs w:val="32"/>
        </w:rPr>
        <w:t>纪检监察部门进行</w:t>
      </w:r>
      <w:r>
        <w:rPr>
          <w:rFonts w:hint="eastAsia" w:ascii="仿宋_GB2312" w:hAnsi="仿宋_GB2312" w:eastAsia="仿宋_GB2312" w:cs="仿宋_GB2312"/>
          <w:sz w:val="32"/>
          <w:szCs w:val="32"/>
          <w:lang w:eastAsia="zh-CN"/>
        </w:rPr>
        <w:t>实名</w:t>
      </w:r>
      <w:r>
        <w:rPr>
          <w:rFonts w:hint="eastAsia" w:ascii="仿宋_GB2312" w:hAnsi="仿宋_GB2312" w:eastAsia="仿宋_GB2312" w:cs="仿宋_GB2312"/>
          <w:sz w:val="32"/>
          <w:szCs w:val="32"/>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乙方及其人员违反上述廉洁从业义务，经调查属实，甲方有权依据</w:t>
      </w:r>
      <w:r>
        <w:rPr>
          <w:rFonts w:hint="eastAsia" w:ascii="仿宋_GB2312" w:hAnsi="仿宋_GB2312" w:eastAsia="仿宋_GB2312" w:cs="仿宋_GB2312"/>
          <w:sz w:val="32"/>
          <w:szCs w:val="32"/>
          <w:lang w:val="en-US" w:eastAsia="zh-CN"/>
        </w:rPr>
        <w:t>相关法律法规</w:t>
      </w:r>
      <w:r>
        <w:rPr>
          <w:rFonts w:hint="eastAsia" w:ascii="仿宋_GB2312" w:hAnsi="仿宋_GB2312" w:eastAsia="仿宋_GB2312" w:cs="仿宋_GB2312"/>
          <w:sz w:val="32"/>
          <w:szCs w:val="32"/>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甲方给予乙方</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承诺</w:t>
      </w:r>
      <w:r>
        <w:rPr>
          <w:rFonts w:hint="eastAsia" w:ascii="仿宋_GB2312" w:hAnsi="仿宋_GB2312" w:eastAsia="仿宋_GB2312" w:cs="仿宋_GB2312"/>
          <w:sz w:val="32"/>
          <w:szCs w:val="32"/>
        </w:rPr>
        <w:t>经双方签字、盖章后生效，</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）监督举报电话：</w:t>
      </w:r>
      <w:r>
        <w:rPr>
          <w:rFonts w:hint="eastAsia" w:ascii="仿宋_GB2312" w:hAnsi="仿宋_GB2312" w:eastAsia="仿宋_GB2312" w:cs="仿宋_GB2312"/>
          <w:kern w:val="2"/>
          <w:sz w:val="32"/>
          <w:szCs w:val="32"/>
          <w:shd w:val="clear" w:color="auto" w:fill="FFFFFF"/>
          <w:lang w:val="en-US" w:eastAsia="zh-CN" w:bidi="ar"/>
        </w:rPr>
        <w:t>中央纪委国家监委驻中国农业发展银行纪检监察组</w:t>
      </w:r>
      <w:r>
        <w:rPr>
          <w:rFonts w:hint="eastAsia" w:ascii="仿宋_GB2312" w:hAnsi="仿宋_GB2312" w:eastAsia="仿宋_GB2312" w:cs="仿宋_GB2312"/>
          <w:sz w:val="32"/>
          <w:szCs w:val="32"/>
          <w:lang w:val="en-US" w:eastAsia="zh-CN"/>
        </w:rPr>
        <w:t>，010-68081725；</w:t>
      </w:r>
      <w:r>
        <w:rPr>
          <w:rFonts w:hint="eastAsia" w:ascii="仿宋_GB2312" w:hAnsi="仿宋_GB2312" w:eastAsia="仿宋_GB2312" w:cs="仿宋_GB2312"/>
          <w:sz w:val="32"/>
          <w:szCs w:val="32"/>
        </w:rPr>
        <w:t>中共中国农业发展银行总行机关</w:t>
      </w:r>
      <w:r>
        <w:rPr>
          <w:rFonts w:hint="eastAsia" w:ascii="仿宋_GB2312" w:hAnsi="仿宋_GB2312" w:eastAsia="仿宋_GB2312" w:cs="仿宋_GB2312"/>
          <w:sz w:val="32"/>
          <w:szCs w:val="32"/>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项目经理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客户经理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lang w:val="en-US" w:eastAsia="zh-CN"/>
        </w:rPr>
      </w:pPr>
    </w:p>
    <w:sectPr>
      <w:pgSz w:w="16838" w:h="11906" w:orient="landscape"/>
      <w:pgMar w:top="1463" w:right="1440" w:bottom="146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abstractNum w:abstractNumId="1">
    <w:nsid w:val="00000001"/>
    <w:multiLevelType w:val="multilevel"/>
    <w:tmpl w:val="00000001"/>
    <w:lvl w:ilvl="0" w:tentative="0">
      <w:start w:val="5"/>
      <w:numFmt w:val="japaneseCounting"/>
      <w:lvlText w:val="%1、"/>
      <w:lvlJc w:val="left"/>
      <w:pPr>
        <w:ind w:left="1139" w:hanging="720"/>
      </w:p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abstractNum w:abstractNumId="2">
    <w:nsid w:val="00000002"/>
    <w:multiLevelType w:val="singleLevel"/>
    <w:tmpl w:val="0000000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GM1YmY4MzM4Nzk5Y2IyZGFhODdmZDdhZjQ4ZmYifQ=="/>
  </w:docVars>
  <w:rsids>
    <w:rsidRoot w:val="74981195"/>
    <w:rsid w:val="00740DE1"/>
    <w:rsid w:val="01FA7E36"/>
    <w:rsid w:val="02DE28F6"/>
    <w:rsid w:val="03694B27"/>
    <w:rsid w:val="041E1B2E"/>
    <w:rsid w:val="060D1346"/>
    <w:rsid w:val="07F31A4B"/>
    <w:rsid w:val="08070A3C"/>
    <w:rsid w:val="0A9D7935"/>
    <w:rsid w:val="0B0E19F5"/>
    <w:rsid w:val="0C5D191D"/>
    <w:rsid w:val="0C9D6E83"/>
    <w:rsid w:val="0EF856B2"/>
    <w:rsid w:val="0F502EB3"/>
    <w:rsid w:val="0FDA4714"/>
    <w:rsid w:val="10191FB1"/>
    <w:rsid w:val="10993416"/>
    <w:rsid w:val="10E834D0"/>
    <w:rsid w:val="11D85BD5"/>
    <w:rsid w:val="11E4195E"/>
    <w:rsid w:val="127C3C10"/>
    <w:rsid w:val="12C46196"/>
    <w:rsid w:val="13C1339D"/>
    <w:rsid w:val="14520EAB"/>
    <w:rsid w:val="14775224"/>
    <w:rsid w:val="14B16A0A"/>
    <w:rsid w:val="158342CE"/>
    <w:rsid w:val="18E36FE2"/>
    <w:rsid w:val="198F5688"/>
    <w:rsid w:val="1A851E16"/>
    <w:rsid w:val="1E8D306C"/>
    <w:rsid w:val="1ED27883"/>
    <w:rsid w:val="225D7134"/>
    <w:rsid w:val="22FF7959"/>
    <w:rsid w:val="232E6F4D"/>
    <w:rsid w:val="23654E2A"/>
    <w:rsid w:val="239F6981"/>
    <w:rsid w:val="244D5EFF"/>
    <w:rsid w:val="24BE41DB"/>
    <w:rsid w:val="26627696"/>
    <w:rsid w:val="2B512868"/>
    <w:rsid w:val="2CF84BB6"/>
    <w:rsid w:val="2EB852DE"/>
    <w:rsid w:val="30133643"/>
    <w:rsid w:val="316E09A9"/>
    <w:rsid w:val="31D46FF8"/>
    <w:rsid w:val="329B19F0"/>
    <w:rsid w:val="34103577"/>
    <w:rsid w:val="3419276A"/>
    <w:rsid w:val="3558467A"/>
    <w:rsid w:val="38365433"/>
    <w:rsid w:val="389C303B"/>
    <w:rsid w:val="39A20CFD"/>
    <w:rsid w:val="3B3A1D75"/>
    <w:rsid w:val="3E767887"/>
    <w:rsid w:val="3E912D31"/>
    <w:rsid w:val="406A0C1B"/>
    <w:rsid w:val="42345558"/>
    <w:rsid w:val="435D7E72"/>
    <w:rsid w:val="470F19E8"/>
    <w:rsid w:val="47154EBD"/>
    <w:rsid w:val="47264087"/>
    <w:rsid w:val="477C23EB"/>
    <w:rsid w:val="485D0000"/>
    <w:rsid w:val="49050923"/>
    <w:rsid w:val="4A2A7A00"/>
    <w:rsid w:val="4A4D5AF6"/>
    <w:rsid w:val="4B355603"/>
    <w:rsid w:val="4C277AEC"/>
    <w:rsid w:val="4C9B1354"/>
    <w:rsid w:val="4CCC65AC"/>
    <w:rsid w:val="4D8220AC"/>
    <w:rsid w:val="4DF155A7"/>
    <w:rsid w:val="4FA00823"/>
    <w:rsid w:val="4FE172B0"/>
    <w:rsid w:val="50323AE1"/>
    <w:rsid w:val="50FA1B00"/>
    <w:rsid w:val="511F0E8C"/>
    <w:rsid w:val="513162CB"/>
    <w:rsid w:val="53833203"/>
    <w:rsid w:val="53C464A1"/>
    <w:rsid w:val="54EE79FF"/>
    <w:rsid w:val="55032525"/>
    <w:rsid w:val="55AC1E33"/>
    <w:rsid w:val="56257501"/>
    <w:rsid w:val="56E64CA8"/>
    <w:rsid w:val="583B0D6E"/>
    <w:rsid w:val="5AB741B0"/>
    <w:rsid w:val="5B1C4E27"/>
    <w:rsid w:val="5C955DF5"/>
    <w:rsid w:val="5D702D19"/>
    <w:rsid w:val="5DCA670A"/>
    <w:rsid w:val="5E155FB3"/>
    <w:rsid w:val="5E52680B"/>
    <w:rsid w:val="5EEF5898"/>
    <w:rsid w:val="5FC4513E"/>
    <w:rsid w:val="619528A3"/>
    <w:rsid w:val="6205428E"/>
    <w:rsid w:val="63615846"/>
    <w:rsid w:val="63AC2830"/>
    <w:rsid w:val="63AD4BBC"/>
    <w:rsid w:val="64FB51C5"/>
    <w:rsid w:val="6599299A"/>
    <w:rsid w:val="67FC0443"/>
    <w:rsid w:val="68056F7D"/>
    <w:rsid w:val="68686F8D"/>
    <w:rsid w:val="698279A8"/>
    <w:rsid w:val="6C020F0B"/>
    <w:rsid w:val="6CF33D87"/>
    <w:rsid w:val="6D15786D"/>
    <w:rsid w:val="6EDE54FA"/>
    <w:rsid w:val="712F24DB"/>
    <w:rsid w:val="71692951"/>
    <w:rsid w:val="73993B67"/>
    <w:rsid w:val="74981195"/>
    <w:rsid w:val="758156C6"/>
    <w:rsid w:val="76D66D89"/>
    <w:rsid w:val="77501DCD"/>
    <w:rsid w:val="780F51F3"/>
    <w:rsid w:val="7A21361D"/>
    <w:rsid w:val="7A4024A0"/>
    <w:rsid w:val="7AD46E57"/>
    <w:rsid w:val="7B812D2B"/>
    <w:rsid w:val="7C2E2576"/>
    <w:rsid w:val="7D5D44AD"/>
    <w:rsid w:val="7DC30557"/>
    <w:rsid w:val="7DF80F37"/>
    <w:rsid w:val="7E7753E9"/>
    <w:rsid w:val="7E8A1644"/>
    <w:rsid w:val="7EEC1AA7"/>
    <w:rsid w:val="7FBA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next w:val="1"/>
    <w:qFormat/>
    <w:uiPriority w:val="0"/>
    <w:pPr>
      <w:widowControl w:val="0"/>
      <w:jc w:val="both"/>
    </w:pPr>
    <w:rPr>
      <w:rFonts w:ascii="Calibri" w:hAnsi="Calibri" w:eastAsia="宋体" w:cs="Times New Roman"/>
      <w:kern w:val="2"/>
      <w:sz w:val="21"/>
      <w:szCs w:val="2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oa\_f3d98168-616f-4f3c-964b-74c382f8488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_f3d98168-616f-4f3c-964b-74c382f84880.docx</Template>
  <Pages>12</Pages>
  <Words>743</Words>
  <Characters>795</Characters>
  <Lines>0</Lines>
  <Paragraphs>0</Paragraphs>
  <TotalTime>146</TotalTime>
  <ScaleCrop>false</ScaleCrop>
  <LinksUpToDate>false</LinksUpToDate>
  <CharactersWithSpaces>803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2024-01-31T00:31:00Z</dcterms:created>
  <dc:creator>殷志强</dc:creator>
  <cp:lastModifiedBy>熊劲松</cp:lastModifiedBy>
  <cp:lastPrinted>2025-02-18T09:05:09Z</cp:lastPrinted>
  <dcterms:modified xsi:type="dcterms:W3CDTF">2025-02-18T09:28:21Z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34B3E9D3055548BBAE91DC2B72BFDB5C</vt:lpwstr>
  </property>
</Properties>
</file>